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6EC3" w14:textId="24417CFC" w:rsidR="0050514C" w:rsidRDefault="003A0AAE" w:rsidP="000F245F">
      <w:pPr>
        <w:jc w:val="center"/>
      </w:pPr>
    </w:p>
    <w:p w14:paraId="6D66ED32" w14:textId="0544FAD5" w:rsidR="00DC360E" w:rsidRDefault="00874A0D" w:rsidP="00DC360E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2577DBE" wp14:editId="7D1041F4">
            <wp:extent cx="5731510" cy="31362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10E1" w14:textId="77777777" w:rsidR="00634E5B" w:rsidRDefault="00634E5B" w:rsidP="00DC360E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15B2046" w14:textId="568B0066" w:rsidR="000F245F" w:rsidRPr="00DC360E" w:rsidRDefault="00634E5B" w:rsidP="00DC360E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Apprenticeships have undergone significant reform and there is growing interest across the Advanced Therapies Community to secure a talent pipeline of technical skills to support ATMP research, commercialisation and scale-up to market. Specialist apprenticeships have been developed by employers to address these development needs. Supporting your apprentice within the business, either as a supervisor or mentor, is critical to the success of their apprenticeship. In this webinar you will learn a little of the background in to apprenticeship reform and the expectation</w:t>
      </w:r>
      <w:r w:rsidR="003A0AAE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on quality, typical content of new apprenticeship standards, end point assessment and the role of the apprentice, training provider, supervisor and mentor.</w:t>
      </w:r>
    </w:p>
    <w:p w14:paraId="141EB6B9" w14:textId="77777777" w:rsidR="00DC360E" w:rsidRDefault="00DC360E">
      <w:pPr>
        <w:rPr>
          <w:sz w:val="24"/>
        </w:rPr>
      </w:pPr>
    </w:p>
    <w:p w14:paraId="497CCE36" w14:textId="02919938" w:rsidR="00DC360E" w:rsidRPr="00DC360E" w:rsidRDefault="00DC360E" w:rsidP="00DC360E">
      <w:pPr>
        <w:rPr>
          <w:b/>
          <w:sz w:val="24"/>
        </w:rPr>
      </w:pPr>
      <w:r w:rsidRPr="00DC360E">
        <w:rPr>
          <w:b/>
          <w:sz w:val="24"/>
        </w:rPr>
        <w:t xml:space="preserve">Target Audience: </w:t>
      </w:r>
      <w:r w:rsidR="00634E5B">
        <w:rPr>
          <w:sz w:val="24"/>
        </w:rPr>
        <w:t>Supervisors and mentors new to supporting apprentices</w:t>
      </w:r>
    </w:p>
    <w:p w14:paraId="2F4982A8" w14:textId="7C3704DD" w:rsidR="00DC360E" w:rsidRPr="00DC360E" w:rsidRDefault="00DC360E">
      <w:pPr>
        <w:rPr>
          <w:sz w:val="24"/>
        </w:rPr>
      </w:pPr>
      <w:r w:rsidRPr="00DC360E">
        <w:rPr>
          <w:b/>
          <w:sz w:val="24"/>
        </w:rPr>
        <w:t>Duration:</w:t>
      </w:r>
      <w:r>
        <w:rPr>
          <w:sz w:val="24"/>
        </w:rPr>
        <w:t xml:space="preserve"> 1 hr</w:t>
      </w:r>
      <w:r w:rsidR="00F20A24">
        <w:rPr>
          <w:sz w:val="24"/>
        </w:rPr>
        <w:t xml:space="preserve"> Webinar</w:t>
      </w:r>
    </w:p>
    <w:p w14:paraId="7EADB289" w14:textId="511537E5" w:rsidR="00DC360E" w:rsidRPr="00DC360E" w:rsidRDefault="00DC360E">
      <w:pPr>
        <w:rPr>
          <w:b/>
          <w:sz w:val="24"/>
        </w:rPr>
      </w:pPr>
      <w:r w:rsidRPr="00DC360E">
        <w:rPr>
          <w:b/>
          <w:sz w:val="24"/>
        </w:rPr>
        <w:t xml:space="preserve">Learning Outcomes: </w:t>
      </w:r>
    </w:p>
    <w:p w14:paraId="35374956" w14:textId="24698C80" w:rsidR="00DC360E" w:rsidRDefault="003A0AAE" w:rsidP="00DC36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Typical content of new apprenticeship standards and expectations of quality</w:t>
      </w:r>
    </w:p>
    <w:p w14:paraId="4B155D78" w14:textId="2CABC48F" w:rsidR="00653C88" w:rsidRDefault="003A0AAE" w:rsidP="00DC36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Role of the employer in assessing competence and end point assessment</w:t>
      </w:r>
    </w:p>
    <w:p w14:paraId="360E329F" w14:textId="3494937F" w:rsidR="00DC360E" w:rsidRPr="00DC360E" w:rsidRDefault="003A0AAE" w:rsidP="00DC36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Expectations of the apprentices supervisor and mentor within the business</w:t>
      </w:r>
      <w:bookmarkStart w:id="0" w:name="_GoBack"/>
      <w:bookmarkEnd w:id="0"/>
    </w:p>
    <w:p w14:paraId="4D799C6A" w14:textId="77777777" w:rsidR="00DC360E" w:rsidRDefault="00DC360E"/>
    <w:p w14:paraId="7314C7CD" w14:textId="7F41FB6E" w:rsidR="000F245F" w:rsidRDefault="000F245F"/>
    <w:p w14:paraId="7127E6BD" w14:textId="6B4A16B0" w:rsidR="000F245F" w:rsidRDefault="000F245F">
      <w:r w:rsidRPr="000F245F">
        <w:rPr>
          <w:noProof/>
        </w:rPr>
        <w:drawing>
          <wp:inline distT="0" distB="0" distL="0" distR="0" wp14:anchorId="2817D316" wp14:editId="39193397">
            <wp:extent cx="2407691" cy="662115"/>
            <wp:effectExtent l="0" t="0" r="0" b="5080"/>
            <wp:docPr id="5" name="Picture 4" descr="A close up of a logo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9488F9F9-937B-434C-AB91-4ADE6B0F1B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9488F9F9-937B-434C-AB91-4ADE6B0F1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91" cy="6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60E" w:rsidRPr="00DC360E">
        <w:rPr>
          <w:noProof/>
        </w:rPr>
        <w:t xml:space="preserve"> </w:t>
      </w:r>
    </w:p>
    <w:p w14:paraId="02059578" w14:textId="77777777" w:rsidR="000F245F" w:rsidRDefault="000F245F"/>
    <w:sectPr w:rsidR="000F2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81F31"/>
    <w:multiLevelType w:val="hybridMultilevel"/>
    <w:tmpl w:val="A9AC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5F"/>
    <w:rsid w:val="00081C10"/>
    <w:rsid w:val="000E150D"/>
    <w:rsid w:val="000F245F"/>
    <w:rsid w:val="00191680"/>
    <w:rsid w:val="001A0664"/>
    <w:rsid w:val="003A0AAE"/>
    <w:rsid w:val="004E5DF6"/>
    <w:rsid w:val="00634E5B"/>
    <w:rsid w:val="00653C88"/>
    <w:rsid w:val="00874A0D"/>
    <w:rsid w:val="00DC360E"/>
    <w:rsid w:val="00F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B93B"/>
  <w15:chartTrackingRefBased/>
  <w15:docId w15:val="{A60ED5DA-428D-41B0-8ACA-A3E0A70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6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Barclay</dc:creator>
  <cp:keywords/>
  <dc:description/>
  <cp:lastModifiedBy>Kate Barclay</cp:lastModifiedBy>
  <cp:revision>2</cp:revision>
  <dcterms:created xsi:type="dcterms:W3CDTF">2019-01-20T14:27:00Z</dcterms:created>
  <dcterms:modified xsi:type="dcterms:W3CDTF">2019-01-20T14:27:00Z</dcterms:modified>
</cp:coreProperties>
</file>